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E370" w14:textId="77777777" w:rsidR="00BE6D26" w:rsidRDefault="00BE6D26" w:rsidP="00BE6D26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Priorytety wydatkowania rezerwy KFS w roku 2023</w:t>
      </w:r>
    </w:p>
    <w:p w14:paraId="6E48304D" w14:textId="77777777" w:rsidR="00BE6D26" w:rsidRDefault="00BE6D26" w:rsidP="00BE6D26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rok 2023 </w:t>
      </w:r>
      <w:r>
        <w:rPr>
          <w:rFonts w:ascii="Calibri" w:hAnsi="Calibri"/>
          <w:b/>
          <w:bCs/>
          <w:sz w:val="22"/>
          <w:szCs w:val="22"/>
        </w:rPr>
        <w:t xml:space="preserve">minister </w:t>
      </w:r>
      <w:r>
        <w:rPr>
          <w:rFonts w:ascii="Calibri" w:hAnsi="Calibri"/>
          <w:sz w:val="22"/>
          <w:szCs w:val="22"/>
        </w:rPr>
        <w:t xml:space="preserve">właściwy ds. pracy określił następujące priorytety wydatkowania rezerwy KFS: </w:t>
      </w:r>
    </w:p>
    <w:p w14:paraId="6271FA66" w14:textId="77777777" w:rsidR="00BE6D26" w:rsidRDefault="00BE6D26" w:rsidP="00BE6D26">
      <w:pPr>
        <w:numPr>
          <w:ilvl w:val="0"/>
          <w:numId w:val="2"/>
        </w:numPr>
        <w:spacing w:line="240" w:lineRule="auto"/>
        <w:ind w:right="238"/>
        <w:jc w:val="both"/>
        <w:rPr>
          <w:rFonts w:eastAsia="Times New Roman"/>
        </w:rPr>
      </w:pPr>
      <w:r>
        <w:rPr>
          <w:rFonts w:eastAsia="Times New Roma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>
        <w:rPr>
          <w:rFonts w:eastAsia="Times New Roman"/>
        </w:rPr>
        <w:t>MRiPS</w:t>
      </w:r>
      <w:proofErr w:type="spellEnd"/>
      <w:r>
        <w:rPr>
          <w:rFonts w:eastAsia="Times New Roman"/>
        </w:rPr>
        <w:t xml:space="preserve"> </w:t>
      </w:r>
    </w:p>
    <w:p w14:paraId="49A001C8" w14:textId="77777777" w:rsidR="00BE6D26" w:rsidRDefault="00BE6D26" w:rsidP="00BE6D26">
      <w:pPr>
        <w:numPr>
          <w:ilvl w:val="0"/>
          <w:numId w:val="2"/>
        </w:numPr>
        <w:spacing w:after="0" w:line="360" w:lineRule="auto"/>
        <w:jc w:val="both"/>
      </w:pPr>
      <w:r>
        <w:t xml:space="preserve">wsparcie kształcenia ustawicznego osób z orzeczonym stopniem niepełnosprawności </w:t>
      </w:r>
    </w:p>
    <w:p w14:paraId="1A71309F" w14:textId="77777777" w:rsidR="00BE6D26" w:rsidRDefault="00BE6D26" w:rsidP="00BE6D26">
      <w:pPr>
        <w:numPr>
          <w:ilvl w:val="0"/>
          <w:numId w:val="2"/>
        </w:numPr>
        <w:spacing w:line="240" w:lineRule="auto"/>
        <w:ind w:left="714" w:right="238" w:hanging="357"/>
        <w:jc w:val="both"/>
        <w:rPr>
          <w:rFonts w:eastAsia="Times New Roman"/>
        </w:rPr>
      </w:pPr>
      <w:r>
        <w:rPr>
          <w:rFonts w:eastAsia="Times New Roman"/>
        </w:rPr>
        <w:t xml:space="preserve">wsparcie kształcenia ustawicznego w obszarach/branżach kluczowych dla rozwoju powiatu/województwa wskazanych w dokumentach strategicznych/planach rozwoju </w:t>
      </w:r>
    </w:p>
    <w:p w14:paraId="03630ADF" w14:textId="77777777" w:rsidR="00BE6D26" w:rsidRDefault="00BE6D26" w:rsidP="00BE6D26">
      <w:pPr>
        <w:numPr>
          <w:ilvl w:val="0"/>
          <w:numId w:val="2"/>
        </w:numPr>
        <w:spacing w:line="240" w:lineRule="auto"/>
        <w:ind w:left="714" w:right="238" w:hanging="357"/>
        <w:jc w:val="both"/>
        <w:rPr>
          <w:rFonts w:eastAsia="Times New Roman"/>
        </w:rPr>
      </w:pPr>
      <w:r>
        <w:rPr>
          <w:rFonts w:eastAsia="Times New Roman"/>
        </w:rPr>
        <w:t xml:space="preserve">wsparcie kształcenia ustawicznego instruktorów praktycznej nauki zawodu bądź osób mających zamiar podjąć się tego zajęcia, opiekunów praktyk zawodowych i opiekunów stażu uczniowskiego oraz szkoleń branżowych dla nauczycieli kształcenia zawodowego </w:t>
      </w:r>
    </w:p>
    <w:p w14:paraId="09A4CEF4" w14:textId="77777777" w:rsidR="00BE6D26" w:rsidRDefault="00BE6D26" w:rsidP="00BE6D26">
      <w:pPr>
        <w:numPr>
          <w:ilvl w:val="0"/>
          <w:numId w:val="2"/>
        </w:numPr>
        <w:spacing w:after="0" w:line="240" w:lineRule="auto"/>
      </w:pPr>
      <w:r>
        <w:t xml:space="preserve">wsparcie kształcenia ustawicznego osób, które mogą udokumentować wykonywanie przez co najmniej 15 lat prac w szczególnych warunkach lub o szczególnym charakterze, a którym nie przysługuje prawo do emerytury pomostowej </w:t>
      </w:r>
    </w:p>
    <w:p w14:paraId="12A41420" w14:textId="77777777" w:rsidR="00BE6D26" w:rsidRDefault="00BE6D26" w:rsidP="00BE6D26">
      <w:pPr>
        <w:spacing w:after="0" w:line="240" w:lineRule="auto"/>
        <w:ind w:left="720"/>
      </w:pPr>
    </w:p>
    <w:p w14:paraId="3BA4CCEB" w14:textId="77777777" w:rsidR="00BE6D26" w:rsidRDefault="00BE6D26" w:rsidP="00BE6D26">
      <w:pPr>
        <w:pStyle w:val="Default"/>
        <w:rPr>
          <w:rFonts w:ascii="Calibri" w:hAnsi="Calibri"/>
          <w:b/>
          <w:sz w:val="22"/>
          <w:szCs w:val="22"/>
        </w:rPr>
      </w:pPr>
    </w:p>
    <w:p w14:paraId="3C561D2D" w14:textId="77777777" w:rsidR="00BE6D26" w:rsidRDefault="00BE6D26" w:rsidP="00BE6D26">
      <w:pPr>
        <w:autoSpaceDN w:val="0"/>
        <w:jc w:val="both"/>
        <w:rPr>
          <w:rFonts w:cstheme="minorHAnsi"/>
        </w:rPr>
      </w:pPr>
      <w:r>
        <w:rPr>
          <w:rFonts w:ascii="Calibri" w:hAnsi="Calibri"/>
          <w:b/>
        </w:rPr>
        <w:t>Składany wniosek musi mieścić się w obszarze przynajmniej jednego z priorytetów</w:t>
      </w:r>
      <w:r>
        <w:rPr>
          <w:rFonts w:cstheme="minorHAnsi"/>
        </w:rPr>
        <w:t>.</w:t>
      </w:r>
    </w:p>
    <w:p w14:paraId="4EAA1DF7" w14:textId="77777777" w:rsidR="00BE6D26" w:rsidRDefault="00BE6D26" w:rsidP="00BE6D26">
      <w:pPr>
        <w:autoSpaceDN w:val="0"/>
        <w:jc w:val="both"/>
        <w:rPr>
          <w:rFonts w:cstheme="minorHAnsi"/>
        </w:rPr>
      </w:pPr>
      <w:r>
        <w:rPr>
          <w:rFonts w:cstheme="minorHAnsi"/>
        </w:rPr>
        <w:t xml:space="preserve">AD. PRIORTET A - </w:t>
      </w:r>
      <w:r>
        <w:rPr>
          <w:rFonts w:cstheme="minorHAnsi"/>
          <w:b/>
          <w:bCs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socjalnych, oraz pracowników zatrudnionych w podmiotach posiadających status przedsiębiorstwa wskazanego na liście/rejestrze przedsiębiorstw społecznych prowadzonych przez </w:t>
      </w:r>
      <w:proofErr w:type="spellStart"/>
      <w:r>
        <w:rPr>
          <w:rFonts w:cstheme="minorHAnsi"/>
          <w:b/>
          <w:bCs/>
        </w:rPr>
        <w:t>MRiPS</w:t>
      </w:r>
      <w:proofErr w:type="spellEnd"/>
      <w:r>
        <w:rPr>
          <w:rFonts w:cstheme="minorHAnsi"/>
          <w:b/>
          <w:bCs/>
        </w:rPr>
        <w:t>;</w:t>
      </w:r>
    </w:p>
    <w:p w14:paraId="6F4C65AB" w14:textId="77777777" w:rsidR="00BE6D26" w:rsidRDefault="00BE6D26" w:rsidP="00BE6D26">
      <w:pPr>
        <w:pStyle w:val="Akapitzlist"/>
        <w:autoSpaceDN w:val="0"/>
        <w:spacing w:after="0"/>
        <w:ind w:left="0"/>
        <w:jc w:val="both"/>
      </w:pPr>
      <w:r>
        <w:t>Podmioty uprawnione o korzystania ze środków w ramach tego priorytetu to:</w:t>
      </w:r>
    </w:p>
    <w:p w14:paraId="60E54243" w14:textId="77777777" w:rsidR="00BE6D26" w:rsidRDefault="00BE6D26" w:rsidP="00BE6D26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color w:val="000000"/>
        </w:rPr>
      </w:pPr>
      <w:r>
        <w:t>CIS i KIS to jednostki prowadzone przez JST, organizacje pozarządowe, podmioty kościelne lub spółdzielnie socjalne osób prawnych. Centra i Klub Integracji Społecznej zatrudniają kadrę odpowiedzialną za reintegrację społeczną i zawodową uczestników</w:t>
      </w:r>
    </w:p>
    <w:p w14:paraId="562BE8F8" w14:textId="77777777" w:rsidR="00BE6D26" w:rsidRDefault="00BE6D26" w:rsidP="00BE6D26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color w:val="000000"/>
        </w:rPr>
      </w:pPr>
      <w:r>
        <w:t>WTZ mogą być tworzone przez fundacje, stowarzyszenia i inne podmioty. Działają one w celu rehabilitacji społecznej i zawodowej osób niepełnosprawnych.</w:t>
      </w:r>
    </w:p>
    <w:p w14:paraId="6D9549C2" w14:textId="77777777" w:rsidR="00BE6D26" w:rsidRDefault="00BE6D26" w:rsidP="00BE6D26">
      <w:pPr>
        <w:pStyle w:val="Akapitzlist"/>
        <w:numPr>
          <w:ilvl w:val="0"/>
          <w:numId w:val="3"/>
        </w:numPr>
        <w:autoSpaceDN w:val="0"/>
        <w:spacing w:after="0"/>
        <w:jc w:val="both"/>
        <w:rPr>
          <w:color w:val="000000"/>
        </w:rPr>
      </w:pPr>
      <w:r>
        <w:t>Pracodawcy zamierzający skorzystać z tego priorytetu powinni wykazać, że współfinansowane ze środków KFS działania zmierzające do podniesienia kompetencji pracowników związane są z ich zadaniami realizowanymi w CIS, KIS WTZ, ZAZ, przedsiębiorstwie społecznym lub spółdzielni socjalnej</w:t>
      </w:r>
    </w:p>
    <w:p w14:paraId="133B8540" w14:textId="77777777" w:rsidR="00BE6D26" w:rsidRDefault="00BE6D26" w:rsidP="00BE6D26">
      <w:pPr>
        <w:pStyle w:val="Akapitzlist"/>
        <w:autoSpaceDN w:val="0"/>
        <w:spacing w:after="0"/>
        <w:ind w:left="0"/>
        <w:jc w:val="both"/>
      </w:pPr>
    </w:p>
    <w:p w14:paraId="6D739FC5" w14:textId="77777777" w:rsidR="00BE6D26" w:rsidRDefault="00BE6D26" w:rsidP="00BE6D26">
      <w:pPr>
        <w:jc w:val="both"/>
        <w:rPr>
          <w:rFonts w:cstheme="minorHAnsi"/>
          <w:b/>
        </w:rPr>
      </w:pPr>
      <w:r>
        <w:rPr>
          <w:rFonts w:cstheme="minorHAnsi"/>
          <w:bCs/>
        </w:rPr>
        <w:t>AD. PRIORYTET B</w:t>
      </w:r>
      <w:r>
        <w:rPr>
          <w:rFonts w:cstheme="minorHAnsi"/>
          <w:b/>
        </w:rPr>
        <w:t xml:space="preserve"> - Wsparcie kształcenia ustawicznego osób z orzeczonym stopniem niepełnosprawności.</w:t>
      </w:r>
    </w:p>
    <w:p w14:paraId="07C53943" w14:textId="77777777" w:rsidR="00BE6D26" w:rsidRDefault="00BE6D26" w:rsidP="00BE6D2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Wnioskodawca składający wniosek o środki w ramach powyższego priorytetu powinien udowodnić posiadanie przez kandydata na szkolenie orzeczenia o niepełnosprawności,</w:t>
      </w:r>
      <w:r>
        <w:rPr>
          <w:rFonts w:asciiTheme="minorHAnsi" w:hAnsiTheme="minorHAnsi" w:cstheme="minorHAnsi"/>
          <w:sz w:val="22"/>
          <w:szCs w:val="22"/>
        </w:rPr>
        <w:br/>
        <w:t xml:space="preserve">tj. przedstawić orzeczenie o niepełnosprawności kandydata na szkolenie bądź oświadczenie </w:t>
      </w:r>
      <w:r>
        <w:rPr>
          <w:rFonts w:asciiTheme="minorHAnsi" w:hAnsiTheme="minorHAnsi" w:cstheme="minorHAnsi"/>
          <w:sz w:val="22"/>
          <w:szCs w:val="22"/>
        </w:rPr>
        <w:br/>
        <w:t xml:space="preserve">o posiadaniu takiego orzeczenia. Temat szkolenia/kursu nie jest narzucony z góry. </w:t>
      </w:r>
      <w:r>
        <w:rPr>
          <w:rFonts w:asciiTheme="minorHAnsi" w:hAnsiTheme="minorHAnsi" w:cstheme="minorHAnsi"/>
          <w:sz w:val="22"/>
          <w:szCs w:val="22"/>
        </w:rPr>
        <w:br/>
        <w:t xml:space="preserve">W uzasadnieniu należy wykazać potrzebę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nabycia umiejętności.</w:t>
      </w:r>
    </w:p>
    <w:p w14:paraId="34327A02" w14:textId="77777777" w:rsidR="00BE6D26" w:rsidRDefault="00BE6D26" w:rsidP="00BE6D26">
      <w:pPr>
        <w:jc w:val="both"/>
        <w:rPr>
          <w:rFonts w:cstheme="minorHAnsi"/>
          <w:b/>
        </w:rPr>
      </w:pPr>
      <w:r>
        <w:rPr>
          <w:rFonts w:cstheme="minorHAnsi"/>
          <w:bCs/>
        </w:rPr>
        <w:lastRenderedPageBreak/>
        <w:t>AD.  PRIORYTET C</w:t>
      </w:r>
      <w:r>
        <w:rPr>
          <w:rFonts w:cstheme="minorHAnsi"/>
          <w:b/>
        </w:rPr>
        <w:t xml:space="preserve"> - 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Wsparcie kształcenia ustawicznego w obszarach/branżach kluczowych dla rozwoju powiatu/województwa wskazanych w dokumentach strategicznych/planach rozwoju. </w:t>
      </w:r>
    </w:p>
    <w:p w14:paraId="410983C0" w14:textId="77777777" w:rsidR="000414B7" w:rsidRDefault="00BE6D26" w:rsidP="00BE6D26">
      <w:pPr>
        <w:jc w:val="both"/>
        <w:rPr>
          <w:rFonts w:eastAsia="Calibri" w:cstheme="minorHAnsi"/>
          <w:color w:val="FF0000"/>
        </w:rPr>
      </w:pPr>
      <w:r>
        <w:rPr>
          <w:rFonts w:eastAsia="Calibri" w:cstheme="minorHAnsi"/>
        </w:rPr>
        <w:t xml:space="preserve">Powiatowy Urząd Pracy w </w:t>
      </w:r>
      <w:r w:rsidR="00F65844">
        <w:rPr>
          <w:rFonts w:eastAsia="Calibri" w:cstheme="minorHAnsi"/>
        </w:rPr>
        <w:t>Grajewie</w:t>
      </w:r>
      <w:r>
        <w:rPr>
          <w:rFonts w:eastAsia="Calibri" w:cstheme="minorHAnsi"/>
        </w:rPr>
        <w:t xml:space="preserve"> określając obszary/branże kluczowe dla rozwoju powiatu/województwa wziął pod uwagę</w:t>
      </w:r>
      <w:r>
        <w:rPr>
          <w:rFonts w:eastAsia="Calibri" w:cstheme="minorHAnsi"/>
          <w:color w:val="FF0000"/>
        </w:rPr>
        <w:t xml:space="preserve"> </w:t>
      </w:r>
    </w:p>
    <w:p w14:paraId="77563EE8" w14:textId="6991D36F" w:rsidR="009652FC" w:rsidRPr="00623059" w:rsidRDefault="00000000" w:rsidP="00623059">
      <w:pPr>
        <w:pStyle w:val="Akapitzlist"/>
        <w:numPr>
          <w:ilvl w:val="0"/>
          <w:numId w:val="7"/>
        </w:numPr>
        <w:jc w:val="both"/>
        <w:rPr>
          <w:rFonts w:eastAsia="Calibri" w:cstheme="minorHAnsi"/>
        </w:rPr>
      </w:pPr>
      <w:hyperlink r:id="rId5" w:history="1">
        <w:r w:rsidR="00BE6D26" w:rsidRPr="00623059">
          <w:rPr>
            <w:rStyle w:val="Hipercze"/>
            <w:rFonts w:eastAsia="Calibri" w:cstheme="minorHAnsi"/>
            <w:color w:val="0563C1"/>
          </w:rPr>
          <w:t>Strategię rozwoju województwa podlaskiego 2030</w:t>
        </w:r>
      </w:hyperlink>
      <w:r w:rsidR="00547250" w:rsidRPr="00623059">
        <w:rPr>
          <w:rStyle w:val="Hipercze"/>
          <w:rFonts w:eastAsia="Calibri" w:cstheme="minorHAnsi"/>
          <w:color w:val="0563C1"/>
        </w:rPr>
        <w:t xml:space="preserve"> </w:t>
      </w:r>
    </w:p>
    <w:p w14:paraId="6750C21F" w14:textId="1A693479" w:rsidR="000414B7" w:rsidRPr="002C5513" w:rsidRDefault="00B8052E" w:rsidP="00623059">
      <w:pPr>
        <w:pStyle w:val="Akapitzlist"/>
        <w:numPr>
          <w:ilvl w:val="0"/>
          <w:numId w:val="7"/>
        </w:numPr>
        <w:jc w:val="both"/>
        <w:rPr>
          <w:rFonts w:eastAsia="Calibri" w:cstheme="minorHAnsi"/>
          <w:color w:val="0070C0"/>
          <w:u w:val="single"/>
        </w:rPr>
      </w:pPr>
      <w:r w:rsidRPr="002C5513">
        <w:rPr>
          <w:rFonts w:eastAsia="Calibri" w:cstheme="minorHAnsi"/>
          <w:color w:val="0070C0"/>
          <w:u w:val="single"/>
        </w:rPr>
        <w:t>Strategię Promocji Gospodarczej Województwa Podlaskiego</w:t>
      </w:r>
      <w:r w:rsidR="0052687D" w:rsidRPr="002C5513">
        <w:rPr>
          <w:rFonts w:eastAsia="Calibri" w:cstheme="minorHAnsi"/>
          <w:color w:val="0070C0"/>
          <w:u w:val="single"/>
        </w:rPr>
        <w:t xml:space="preserve"> </w:t>
      </w:r>
    </w:p>
    <w:p w14:paraId="298BB57A" w14:textId="24A60532" w:rsidR="00BE6D26" w:rsidRDefault="00BE6D26" w:rsidP="00BE6D26">
      <w:pPr>
        <w:spacing w:after="200"/>
        <w:jc w:val="both"/>
        <w:rPr>
          <w:rFonts w:cstheme="minorHAnsi"/>
          <w:b/>
          <w:noProof/>
        </w:rPr>
      </w:pPr>
      <w:r>
        <w:rPr>
          <w:rFonts w:cstheme="minorHAnsi"/>
          <w:noProof/>
        </w:rPr>
        <w:t xml:space="preserve">Obszary/branże kluczowe dla rozwoju województwa podlaskiego, w tym powiatu </w:t>
      </w:r>
      <w:r w:rsidR="00110D3B">
        <w:rPr>
          <w:rFonts w:cstheme="minorHAnsi"/>
          <w:noProof/>
        </w:rPr>
        <w:t>grajewskiego</w:t>
      </w:r>
      <w:r>
        <w:rPr>
          <w:rFonts w:cstheme="minorHAnsi"/>
          <w:noProof/>
        </w:rPr>
        <w:t xml:space="preserve"> to:</w:t>
      </w:r>
    </w:p>
    <w:p w14:paraId="6FBDD525" w14:textId="77777777" w:rsidR="00BE6D26" w:rsidRDefault="00BE6D26" w:rsidP="00BE6D26">
      <w:pPr>
        <w:pStyle w:val="Akapitzlist"/>
        <w:numPr>
          <w:ilvl w:val="0"/>
          <w:numId w:val="4"/>
        </w:numPr>
        <w:rPr>
          <w:rFonts w:cstheme="minorHAnsi"/>
          <w:b/>
          <w:noProof/>
        </w:rPr>
      </w:pPr>
      <w:r>
        <w:rPr>
          <w:rFonts w:cstheme="minorHAnsi"/>
          <w:noProof/>
        </w:rPr>
        <w:t>rolnictwo (ekologiczne i zrównoważone);</w:t>
      </w:r>
    </w:p>
    <w:p w14:paraId="60A6E5C0" w14:textId="77777777" w:rsidR="00BE6D26" w:rsidRDefault="00BE6D26" w:rsidP="00BE6D26">
      <w:pPr>
        <w:pStyle w:val="Akapitzlist"/>
        <w:numPr>
          <w:ilvl w:val="0"/>
          <w:numId w:val="4"/>
        </w:numPr>
        <w:rPr>
          <w:rFonts w:cstheme="minorHAnsi"/>
          <w:b/>
          <w:noProof/>
        </w:rPr>
      </w:pPr>
      <w:r>
        <w:rPr>
          <w:rFonts w:cstheme="minorHAnsi"/>
          <w:noProof/>
        </w:rPr>
        <w:t>przetwórstwo rolno-spożywcze  i sektory powiązane (produkcja ekologiczna);</w:t>
      </w:r>
    </w:p>
    <w:p w14:paraId="7DC8D395" w14:textId="77777777" w:rsidR="00BE6D26" w:rsidRDefault="00BE6D26" w:rsidP="00BE6D26">
      <w:pPr>
        <w:pStyle w:val="Akapitzlist"/>
        <w:numPr>
          <w:ilvl w:val="0"/>
          <w:numId w:val="4"/>
        </w:numPr>
        <w:rPr>
          <w:rFonts w:cstheme="minorHAnsi"/>
          <w:noProof/>
        </w:rPr>
      </w:pPr>
      <w:r>
        <w:rPr>
          <w:rFonts w:cstheme="minorHAnsi"/>
          <w:noProof/>
        </w:rPr>
        <w:t>przemysł:</w:t>
      </w:r>
    </w:p>
    <w:p w14:paraId="1C69FD5B" w14:textId="77777777" w:rsidR="00BE6D26" w:rsidRDefault="00BE6D26" w:rsidP="00BE6D26">
      <w:pPr>
        <w:pStyle w:val="Akapitzlist"/>
        <w:ind w:left="1440"/>
        <w:rPr>
          <w:rFonts w:cstheme="minorHAnsi"/>
          <w:b/>
          <w:noProof/>
        </w:rPr>
      </w:pPr>
      <w:r>
        <w:rPr>
          <w:rFonts w:cstheme="minorHAnsi"/>
          <w:noProof/>
        </w:rPr>
        <w:t>- metalowo-maszynowy,</w:t>
      </w:r>
    </w:p>
    <w:p w14:paraId="29295A36" w14:textId="77777777" w:rsidR="00BE6D26" w:rsidRDefault="00BE6D26" w:rsidP="00BE6D26">
      <w:pPr>
        <w:pStyle w:val="Akapitzlist"/>
        <w:ind w:left="1440"/>
        <w:rPr>
          <w:rFonts w:cstheme="minorHAnsi"/>
          <w:b/>
          <w:noProof/>
        </w:rPr>
      </w:pPr>
      <w:r>
        <w:rPr>
          <w:rFonts w:cstheme="minorHAnsi"/>
          <w:noProof/>
        </w:rPr>
        <w:t>- drzewny,</w:t>
      </w:r>
    </w:p>
    <w:p w14:paraId="32768E67" w14:textId="77777777" w:rsidR="00BE6D26" w:rsidRDefault="00BE6D26" w:rsidP="00BE6D26">
      <w:pPr>
        <w:pStyle w:val="Akapitzlist"/>
        <w:ind w:left="1440"/>
        <w:rPr>
          <w:rFonts w:cstheme="minorHAnsi"/>
          <w:b/>
          <w:noProof/>
        </w:rPr>
      </w:pPr>
      <w:r>
        <w:rPr>
          <w:rFonts w:cstheme="minorHAnsi"/>
          <w:noProof/>
        </w:rPr>
        <w:t>- meblarski,</w:t>
      </w:r>
    </w:p>
    <w:p w14:paraId="0941D585" w14:textId="77777777" w:rsidR="00BE6D26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budownictwo;</w:t>
      </w:r>
    </w:p>
    <w:p w14:paraId="3DA90976" w14:textId="77777777" w:rsidR="00BE6D26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produkcja energii z odnawialnych źródeł energii;</w:t>
      </w:r>
    </w:p>
    <w:p w14:paraId="18DCCBE9" w14:textId="77777777" w:rsidR="00BE6D26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opieka zdrowotna i społeczna (w szczególności geriatryczna, długoterminowa, rehabilitacja, opieka nad dziećmi i osobami zależnymi itp.);</w:t>
      </w:r>
    </w:p>
    <w:p w14:paraId="69876D87" w14:textId="77777777" w:rsidR="00BE6D26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edukacja w zakresie kompetencji cyfrowych</w:t>
      </w:r>
    </w:p>
    <w:p w14:paraId="0B81C39D" w14:textId="77777777" w:rsidR="00BE6D26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edukacja pod kątem nowoczesnych metod kształcenia i potrzeb rozwijającego się regionalnego popytu na kompetencje;</w:t>
      </w:r>
    </w:p>
    <w:p w14:paraId="0C3A2346" w14:textId="77777777" w:rsidR="00BE6D26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turystyka;</w:t>
      </w:r>
    </w:p>
    <w:p w14:paraId="2D67E19D" w14:textId="384E01CD" w:rsidR="00BE6D26" w:rsidRPr="001A1D71" w:rsidRDefault="00BE6D26" w:rsidP="00BE6D26">
      <w:pPr>
        <w:pStyle w:val="Akapitzlist"/>
        <w:numPr>
          <w:ilvl w:val="0"/>
          <w:numId w:val="4"/>
        </w:numPr>
        <w:rPr>
          <w:b/>
          <w:noProof/>
        </w:rPr>
      </w:pPr>
      <w:r>
        <w:rPr>
          <w:noProof/>
        </w:rPr>
        <w:t>ekonomia społeczna.</w:t>
      </w:r>
      <w:r w:rsidR="001A1D71">
        <w:rPr>
          <w:noProof/>
        </w:rPr>
        <w:t xml:space="preserve"> </w:t>
      </w:r>
    </w:p>
    <w:p w14:paraId="793088CA" w14:textId="6830036A" w:rsidR="001A1D71" w:rsidRDefault="001A1D71" w:rsidP="001A1D71">
      <w:pPr>
        <w:pStyle w:val="Akapitzlist"/>
        <w:rPr>
          <w:b/>
          <w:noProof/>
        </w:rPr>
      </w:pPr>
      <w:r>
        <w:t>Wiodącymi branżami w gospodarce województwa podlaskiego są, między innymi: przemysł rolno-spożywczy), przemysł metalowo-maszynowy, drzewny i budowlany, sektor medyczny, energetyczny oraz turystyczny. Coraz większą rolę w strukturze branż gospodarki województwa podlaskiego odgrywa dynamicznie rozwijający się przemysł oraz usługi wysokich technologii, obejmujący przede wszystkim produkcję specjalistycznego sprzętu medycznego, elektronikę czy technologie informatyczne.</w:t>
      </w:r>
    </w:p>
    <w:p w14:paraId="05470BD2" w14:textId="15D97218" w:rsidR="00BE6D26" w:rsidRDefault="00BE6D26" w:rsidP="00BE6D26">
      <w:pPr>
        <w:jc w:val="both"/>
        <w:rPr>
          <w:rFonts w:ascii="Calibri" w:eastAsia="Calibri" w:hAnsi="Calibri" w:cs="Times New Roman"/>
          <w:bCs/>
        </w:rPr>
      </w:pPr>
      <w:r>
        <w:rPr>
          <w:rFonts w:cstheme="minorHAnsi"/>
        </w:rPr>
        <w:t xml:space="preserve">Wnioskodawca składający wniosek o środki w ramach powyższego priorytetu powinien </w:t>
      </w:r>
      <w:r>
        <w:rPr>
          <w:rFonts w:cstheme="minorHAnsi"/>
          <w:u w:val="single"/>
        </w:rPr>
        <w:t xml:space="preserve">szczegółowo </w:t>
      </w:r>
      <w:r>
        <w:rPr>
          <w:rFonts w:ascii="Calibri" w:eastAsia="Calibri" w:hAnsi="Calibri" w:cs="Times New Roman"/>
          <w:bCs/>
          <w:u w:val="single"/>
        </w:rPr>
        <w:t>uzasadnić,</w:t>
      </w:r>
      <w:r>
        <w:rPr>
          <w:rFonts w:ascii="Calibri" w:eastAsia="Calibri" w:hAnsi="Calibri" w:cs="Times New Roman"/>
          <w:bCs/>
        </w:rPr>
        <w:t xml:space="preserve"> że kierunek kształcenia dotyczy obszarów/branż kluczowych dla rozwoju powiatu </w:t>
      </w:r>
      <w:r w:rsidR="000772AF">
        <w:rPr>
          <w:rFonts w:ascii="Calibri" w:eastAsia="Calibri" w:hAnsi="Calibri" w:cs="Times New Roman"/>
          <w:bCs/>
        </w:rPr>
        <w:t>grajewskiego</w:t>
      </w:r>
      <w:r>
        <w:rPr>
          <w:rFonts w:ascii="Calibri" w:eastAsia="Calibri" w:hAnsi="Calibri" w:cs="Times New Roman"/>
          <w:bCs/>
        </w:rPr>
        <w:t>/województwa podlaskiego.</w:t>
      </w:r>
    </w:p>
    <w:p w14:paraId="119D2B38" w14:textId="77777777" w:rsidR="00BE6D26" w:rsidRDefault="00BE6D26" w:rsidP="00BE6D26">
      <w:pPr>
        <w:pStyle w:val="Akapitzlist"/>
        <w:autoSpaceDN w:val="0"/>
        <w:spacing w:after="0"/>
        <w:ind w:left="0"/>
        <w:jc w:val="both"/>
        <w:rPr>
          <w:b/>
          <w:bCs/>
        </w:rPr>
      </w:pPr>
      <w:r>
        <w:t xml:space="preserve">AD. PRIORYTET D - </w:t>
      </w:r>
      <w:r>
        <w:rPr>
          <w:b/>
          <w:bCs/>
        </w:rPr>
        <w:t>wsparcie realizacji szkoleń dla instruktorów praktycznej nauki zawodu bądź osób mających zamiar podjęcia się tego zajęcia, opiekunów praktyk zawodowych i opiekunów stażu uczniowskiego oraz szkoleń branżowych dla nauczycieli kształcenia zawodowego;</w:t>
      </w:r>
    </w:p>
    <w:p w14:paraId="558FB219" w14:textId="77777777" w:rsidR="00BE6D26" w:rsidRDefault="00BE6D26" w:rsidP="00F65844">
      <w:pPr>
        <w:pStyle w:val="Akapitzlist"/>
        <w:numPr>
          <w:ilvl w:val="0"/>
          <w:numId w:val="5"/>
        </w:numPr>
        <w:autoSpaceDN w:val="0"/>
        <w:spacing w:after="0" w:line="240" w:lineRule="auto"/>
        <w:ind w:left="0" w:firstLine="0"/>
        <w:jc w:val="both"/>
      </w:pPr>
      <w:r>
        <w:t>W ramach tego priorytetu środki 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prowadzących zarówno przez jednostki samorządu terytorialnego jak również przez osoby fizyczne i osoby prawne niebędące jednostkami samorządu terytorialnego</w:t>
      </w:r>
    </w:p>
    <w:p w14:paraId="04B0501D" w14:textId="77777777" w:rsidR="00BE6D26" w:rsidRDefault="00BE6D26" w:rsidP="00F65844">
      <w:pPr>
        <w:pStyle w:val="Akapitzlist"/>
        <w:numPr>
          <w:ilvl w:val="0"/>
          <w:numId w:val="5"/>
        </w:numPr>
        <w:autoSpaceDN w:val="0"/>
        <w:spacing w:after="0" w:line="240" w:lineRule="auto"/>
        <w:ind w:left="0" w:firstLine="0"/>
        <w:jc w:val="both"/>
      </w:pPr>
      <w:r>
        <w:t xml:space="preserve">Priorytet ten pozwala na skorzystanie z dofinansowania kształcenia ustawicznego osób, którym powierzono obowiązki instruktorów praktycznej nauki zawodu lub deklarujących chęć podjęcia się takiego zajęcia, opiekunów praktyk zawodowych i opiekunów stażu uczniowskiego. Grupę te stanowią </w:t>
      </w:r>
      <w:r>
        <w:lastRenderedPageBreak/>
        <w:t>pracodawcy lub pracownicy podmiotów przyjmujących uczniów na staż bądź osoby prowadzące indywidualne gospodarstwa rolne</w:t>
      </w:r>
    </w:p>
    <w:p w14:paraId="7AFE12A4" w14:textId="77777777" w:rsidR="00BE6D26" w:rsidRDefault="00BE6D26" w:rsidP="00BE6D26">
      <w:pPr>
        <w:jc w:val="both"/>
      </w:pPr>
      <w:r>
        <w:t>Definicja stażu uczniowskiego wskazana w art. 121a ust. 1 i ust. 21 ustawy z dnia 14 grudnia 2016 r. Prawo oświatowe określa go jako staż w rzeczywistych warunkach pracy jaki - w celu ułatwienia uzyskiwania doświadczenia i nabywania umiejętności praktycznych niezbędnych do wykonywania pracy w zawodzie, w którym kształcą się - mogą w okresie nauki odbywać uczniowie technikum                       i uczniowie branżowej szkoły I stopnia niebędący młodocianymi pracownikami. W czasie odbywania stażu uczniowskiego opiekę nad uczniem sprawuje wyznaczony przez podmiot przyjmujący na staż uczniowski opiekun stażu uczniowskiego.</w:t>
      </w:r>
    </w:p>
    <w:p w14:paraId="001E20EF" w14:textId="77777777" w:rsidR="00BE6D26" w:rsidRDefault="00BE6D26" w:rsidP="00BE6D26">
      <w:pPr>
        <w:jc w:val="both"/>
      </w:pPr>
      <w:r>
        <w:t>Rozporządzenie MEN z 22 lutego 2019 roku w sprawie praktycznej nauki zawodu                                              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</w:t>
      </w:r>
    </w:p>
    <w:p w14:paraId="1EE20DF9" w14:textId="77777777" w:rsidR="00BE6D26" w:rsidRDefault="00BE6D26" w:rsidP="00BE6D26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AD. PRIORYTET E. – </w:t>
      </w:r>
      <w:r>
        <w:rPr>
          <w:rFonts w:ascii="Calibri" w:hAnsi="Calibri"/>
          <w:b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>
        <w:rPr>
          <w:rFonts w:ascii="Calibri" w:hAnsi="Calibri"/>
        </w:rPr>
        <w:t>.</w:t>
      </w:r>
    </w:p>
    <w:p w14:paraId="613ED62F" w14:textId="77777777" w:rsidR="00BE6D26" w:rsidRDefault="00BE6D26" w:rsidP="00BE6D2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Wykaz prac w szczególnych warunkach stanowi załącznik nr 1, a prac o szczególnym charakterze – załącznik nr 2 do ustawy z dnia 19 grudnia 2008 roku </w:t>
      </w:r>
      <w:r>
        <w:rPr>
          <w:rFonts w:ascii="Calibri" w:hAnsi="Calibri"/>
          <w:i/>
        </w:rPr>
        <w:t>o emeryturach pomostowych</w:t>
      </w:r>
      <w:r>
        <w:rPr>
          <w:rFonts w:ascii="Calibri" w:hAnsi="Calibri"/>
        </w:rPr>
        <w:t xml:space="preserve"> (Dz. U z 2008 Nr 237, poz. 1656 z </w:t>
      </w:r>
      <w:proofErr w:type="spellStart"/>
      <w:r>
        <w:rPr>
          <w:rFonts w:ascii="Calibri" w:hAnsi="Calibri"/>
        </w:rPr>
        <w:t>późń</w:t>
      </w:r>
      <w:proofErr w:type="spellEnd"/>
      <w:r>
        <w:rPr>
          <w:rFonts w:ascii="Calibri" w:hAnsi="Calibri"/>
        </w:rPr>
        <w:t>. zm.)</w:t>
      </w:r>
    </w:p>
    <w:p w14:paraId="42ABB14D" w14:textId="77777777" w:rsidR="00BE6D26" w:rsidRDefault="00BE6D26" w:rsidP="00BE6D26">
      <w:pPr>
        <w:jc w:val="both"/>
        <w:rPr>
          <w:rFonts w:ascii="Calibri" w:hAnsi="Calibri"/>
        </w:rPr>
      </w:pPr>
    </w:p>
    <w:p w14:paraId="4FBDA3D9" w14:textId="77777777" w:rsidR="00BE6D26" w:rsidRDefault="00BE6D26" w:rsidP="00BE6D26">
      <w:pPr>
        <w:jc w:val="both"/>
      </w:pPr>
    </w:p>
    <w:p w14:paraId="3943A39C" w14:textId="77777777" w:rsidR="00BE6D26" w:rsidRDefault="00BE6D26" w:rsidP="00BE6D26"/>
    <w:p w14:paraId="6705C77D" w14:textId="77777777" w:rsidR="00A563B2" w:rsidRDefault="00A563B2"/>
    <w:sectPr w:rsidR="00A5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6A71"/>
    <w:multiLevelType w:val="hybridMultilevel"/>
    <w:tmpl w:val="AC942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767"/>
    <w:multiLevelType w:val="hybridMultilevel"/>
    <w:tmpl w:val="0D42237A"/>
    <w:lvl w:ilvl="0" w:tplc="5300B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A41"/>
    <w:multiLevelType w:val="hybridMultilevel"/>
    <w:tmpl w:val="306A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DA8"/>
    <w:multiLevelType w:val="hybridMultilevel"/>
    <w:tmpl w:val="D3587D66"/>
    <w:lvl w:ilvl="0" w:tplc="44E22632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67E2"/>
    <w:multiLevelType w:val="multilevel"/>
    <w:tmpl w:val="C98A6D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C1F37"/>
    <w:multiLevelType w:val="hybridMultilevel"/>
    <w:tmpl w:val="9CEEEDBC"/>
    <w:lvl w:ilvl="0" w:tplc="DF16F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4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64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831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464519">
    <w:abstractNumId w:val="2"/>
  </w:num>
  <w:num w:numId="5" w16cid:durableId="879971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516064">
    <w:abstractNumId w:val="0"/>
  </w:num>
  <w:num w:numId="7" w16cid:durableId="138798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4B"/>
    <w:rsid w:val="000414B7"/>
    <w:rsid w:val="000772AF"/>
    <w:rsid w:val="00110D3B"/>
    <w:rsid w:val="00126832"/>
    <w:rsid w:val="001A1D71"/>
    <w:rsid w:val="00224F3F"/>
    <w:rsid w:val="002C5513"/>
    <w:rsid w:val="0052687D"/>
    <w:rsid w:val="00547250"/>
    <w:rsid w:val="00623059"/>
    <w:rsid w:val="00926A39"/>
    <w:rsid w:val="009652FC"/>
    <w:rsid w:val="00A52211"/>
    <w:rsid w:val="00A563B2"/>
    <w:rsid w:val="00B8052E"/>
    <w:rsid w:val="00BC32DE"/>
    <w:rsid w:val="00BE6D26"/>
    <w:rsid w:val="00C24A4B"/>
    <w:rsid w:val="00EF7B60"/>
    <w:rsid w:val="00F12E0F"/>
    <w:rsid w:val="00F54E19"/>
    <w:rsid w:val="00F627F7"/>
    <w:rsid w:val="00F65844"/>
    <w:rsid w:val="00F71CEE"/>
    <w:rsid w:val="00FD0F15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7CD"/>
  <w15:chartTrackingRefBased/>
  <w15:docId w15:val="{E34041F4-C5C9-4DBA-8AD2-BAA238CD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D2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6D2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BE6D26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BE6D26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uiPriority w:val="99"/>
    <w:rsid w:val="00BE6D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rategia.wrotapodlasia.pl/pl/strategia_rozwoju_wojewdztwa_podlaskiego_20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Gadomska</dc:creator>
  <cp:keywords/>
  <dc:description/>
  <cp:lastModifiedBy>Anna Gadomska</cp:lastModifiedBy>
  <cp:revision>24</cp:revision>
  <cp:lastPrinted>2023-08-11T09:56:00Z</cp:lastPrinted>
  <dcterms:created xsi:type="dcterms:W3CDTF">2023-08-11T09:16:00Z</dcterms:created>
  <dcterms:modified xsi:type="dcterms:W3CDTF">2023-08-16T07:10:00Z</dcterms:modified>
</cp:coreProperties>
</file>